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605D" w14:textId="77777777" w:rsidR="00AF688E" w:rsidRDefault="00AF688E" w:rsidP="00DF3310">
      <w:pPr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TEOREMI FONDAMENTALI SUI TRIANGOLI RETTANGOLI</w:t>
      </w:r>
    </w:p>
    <w:p w14:paraId="0900CB58" w14:textId="77777777" w:rsidR="00AF688E" w:rsidRPr="00805DE1" w:rsidRDefault="00C97183" w:rsidP="00AF688E">
      <w:pPr>
        <w:rPr>
          <w:b/>
        </w:rPr>
      </w:pPr>
      <w:r>
        <w:rPr>
          <w:b/>
        </w:rPr>
        <w:t>D</w:t>
      </w:r>
      <w:r w:rsidR="00AF688E" w:rsidRPr="00805DE1">
        <w:rPr>
          <w:b/>
        </w:rPr>
        <w:t>efinizioni di seno e coseno</w:t>
      </w:r>
      <w:r w:rsidR="00743281">
        <w:rPr>
          <w:b/>
        </w:rPr>
        <w:t xml:space="preserve"> di un arco</w:t>
      </w:r>
      <w:r w:rsidR="00AF688E" w:rsidRPr="00805DE1">
        <w:rPr>
          <w:b/>
        </w:rPr>
        <w:t>:</w:t>
      </w:r>
    </w:p>
    <w:p w14:paraId="7E85B6AC" w14:textId="77777777" w:rsidR="00AF688E" w:rsidRPr="00805DE1" w:rsidRDefault="00743281" w:rsidP="00AF688E">
      <w:pPr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431ECEE6" wp14:editId="0FF425C0">
            <wp:extent cx="6120130" cy="26060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o-cosen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DDE2A" w14:textId="77777777" w:rsidR="00AF688E" w:rsidRPr="00805DE1" w:rsidRDefault="004B71F8" w:rsidP="00F27BF7">
      <w:pPr>
        <w:jc w:val="both"/>
        <w:rPr>
          <w:b/>
        </w:rPr>
      </w:pPr>
      <w:r>
        <w:rPr>
          <w:b/>
        </w:rPr>
        <w:t>Si disegna il</w:t>
      </w:r>
      <w:r w:rsidR="00AF688E" w:rsidRPr="00805DE1">
        <w:rPr>
          <w:b/>
        </w:rPr>
        <w:t xml:space="preserve"> triangolo rettangolo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 w:rsidR="00AF688E" w:rsidRPr="00805DE1">
        <w:rPr>
          <w:b/>
        </w:rPr>
        <w:t xml:space="preserve"> </w:t>
      </w:r>
      <w:r>
        <w:rPr>
          <w:b/>
        </w:rPr>
        <w:t xml:space="preserve">, </w:t>
      </w:r>
      <w:r w:rsidR="00AF688E" w:rsidRPr="00805DE1">
        <w:rPr>
          <w:b/>
        </w:rPr>
        <w:t xml:space="preserve">retto nel vertice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F27BF7" w:rsidRPr="00805DE1">
        <w:rPr>
          <w:b/>
        </w:rPr>
        <w:t xml:space="preserve">, appartenente all’asse delle ascisse, </w:t>
      </w:r>
      <w:r>
        <w:rPr>
          <w:b/>
        </w:rPr>
        <w:t xml:space="preserve">avente </w:t>
      </w:r>
      <w:r w:rsidR="00F27BF7" w:rsidRPr="00805DE1">
        <w:rPr>
          <w:b/>
        </w:rPr>
        <w:t xml:space="preserve">il vertice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F27BF7" w:rsidRPr="00805DE1">
        <w:rPr>
          <w:b/>
        </w:rPr>
        <w:t xml:space="preserve"> sulla circonferenza goniometrica e </w:t>
      </w:r>
      <w:r w:rsidR="00AF688E" w:rsidRPr="00805DE1">
        <w:rPr>
          <w:b/>
        </w:rPr>
        <w:t xml:space="preserve">il vertice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AF688E" w:rsidRPr="00805DE1">
        <w:rPr>
          <w:b/>
        </w:rPr>
        <w:t xml:space="preserve"> coincidente con il centro della c</w:t>
      </w:r>
      <w:r w:rsidR="00F27BF7" w:rsidRPr="00805DE1">
        <w:rPr>
          <w:b/>
        </w:rPr>
        <w:t>urva cioè:</w:t>
      </w:r>
    </w:p>
    <w:p w14:paraId="1100F0DD" w14:textId="77777777" w:rsidR="00F27BF7" w:rsidRDefault="004B71F8" w:rsidP="00F27BF7">
      <w:pPr>
        <w:jc w:val="both"/>
        <w:rPr>
          <w:b/>
          <w:color w:val="FF0000"/>
        </w:rPr>
      </w:pPr>
      <w:r>
        <w:rPr>
          <w:b/>
          <w:noProof/>
          <w:color w:val="FF0000"/>
          <w:lang w:eastAsia="it-IT"/>
        </w:rPr>
        <w:drawing>
          <wp:inline distT="0" distB="0" distL="0" distR="0" wp14:anchorId="2458E236" wp14:editId="00EAF296">
            <wp:extent cx="6120130" cy="260540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oremi_Triangol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50E92" w14:textId="77777777" w:rsidR="00805DE1" w:rsidRDefault="004B71F8" w:rsidP="00F27BF7">
      <w:pPr>
        <w:jc w:val="both"/>
        <w:rPr>
          <w:b/>
          <w:color w:val="FF0000"/>
        </w:rPr>
      </w:pPr>
      <w:r>
        <w:rPr>
          <w:b/>
        </w:rPr>
        <w:t>S</w:t>
      </w:r>
      <w:r w:rsidR="00F27BF7" w:rsidRPr="00805DE1">
        <w:rPr>
          <w:b/>
        </w:rPr>
        <w:t>i può dimostrare che</w:t>
      </w:r>
      <w:r w:rsidR="00F27BF7">
        <w:rPr>
          <w:b/>
          <w:color w:val="FF0000"/>
        </w:rPr>
        <w:t xml:space="preserve"> </w:t>
      </w:r>
    </w:p>
    <w:p w14:paraId="64ACF165" w14:textId="77777777" w:rsidR="00F27BF7" w:rsidRDefault="00805DE1" w:rsidP="00F27BF7">
      <w:pPr>
        <w:jc w:val="both"/>
        <w:rPr>
          <w:b/>
          <w:color w:val="FF0000"/>
        </w:rPr>
      </w:pPr>
      <w:r>
        <w:rPr>
          <w:b/>
          <w:color w:val="FF0000"/>
        </w:rPr>
        <w:t>I</w:t>
      </w:r>
      <w:r w:rsidR="00F27BF7">
        <w:rPr>
          <w:b/>
          <w:color w:val="FF0000"/>
        </w:rPr>
        <w:t>n un triangolo rettangolo, la misura di un cateto è data dal prodotto della misura dell’ipotenusa per il seno dell’</w:t>
      </w:r>
      <w:r>
        <w:rPr>
          <w:b/>
          <w:color w:val="FF0000"/>
        </w:rPr>
        <w:t>angolo ad esso opposto</w:t>
      </w:r>
      <w:r w:rsidR="00F27BF7">
        <w:rPr>
          <w:b/>
          <w:color w:val="FF0000"/>
        </w:rPr>
        <w:t xml:space="preserve"> o per il coseno dell’angolo acuto ad esso adiacente.</w:t>
      </w:r>
    </w:p>
    <w:p w14:paraId="59B5A15B" w14:textId="77777777" w:rsidR="00F27BF7" w:rsidRPr="00805DE1" w:rsidRDefault="00F27BF7" w:rsidP="00F27BF7">
      <w:pPr>
        <w:jc w:val="both"/>
        <w:rPr>
          <w:rFonts w:ascii="Cambria Math" w:hAnsi="Cambria Math"/>
          <w:b/>
        </w:rPr>
      </w:pPr>
      <w:r w:rsidRPr="00805DE1">
        <w:rPr>
          <w:b/>
        </w:rPr>
        <w:t xml:space="preserve">Pertanto, indicando con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805DE1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805DE1">
        <w:rPr>
          <w:b/>
        </w:rPr>
        <w:t xml:space="preserve"> e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805DE1">
        <w:rPr>
          <w:b/>
        </w:rPr>
        <w:t xml:space="preserve"> rispettivamente le misure dell’ipotenusa e dei cateti </w:t>
      </w:r>
      <w:r w:rsidR="00805DE1" w:rsidRPr="00805DE1">
        <w:rPr>
          <w:b/>
        </w:rPr>
        <w:t xml:space="preserve">e con </w:t>
      </w:r>
      <w:r w:rsidR="00805DE1" w:rsidRPr="00805DE1">
        <w:rPr>
          <w:rFonts w:ascii="Cambria Math" w:hAnsi="Cambria Math"/>
          <w:b/>
        </w:rPr>
        <w:t xml:space="preserve">𝛂 l’angolo retto, con 𝛃 l’angolo opposto al cateto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805DE1" w:rsidRPr="00805DE1">
        <w:rPr>
          <w:rFonts w:ascii="Cambria Math" w:hAnsi="Cambria Math"/>
          <w:b/>
        </w:rPr>
        <w:t xml:space="preserve"> e con 𝛄 l’angolo opposto al cateto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805DE1" w:rsidRPr="00805DE1">
        <w:rPr>
          <w:rFonts w:ascii="Cambria Math" w:hAnsi="Cambria Math"/>
          <w:b/>
        </w:rPr>
        <w:t xml:space="preserve"> si possono dedurre le seguenti relazioni:</w:t>
      </w:r>
    </w:p>
    <w:p w14:paraId="27FC0EF4" w14:textId="77777777" w:rsidR="00805DE1" w:rsidRDefault="00805DE1" w:rsidP="00805DE1">
      <w:pPr>
        <w:jc w:val="center"/>
        <w:rPr>
          <w:rFonts w:ascii="Cambria Math" w:hAnsi="Cambria Math"/>
          <w:b/>
          <w:color w:val="FF0000"/>
        </w:rPr>
      </w:pPr>
      <m:oMath>
        <m:r>
          <m:rPr>
            <m:sty m:val="bi"/>
          </m:rPr>
          <w:rPr>
            <w:rFonts w:ascii="Cambria Math" w:hAnsi="Cambria Math"/>
            <w:color w:val="FF0000"/>
          </w:rPr>
          <m:t>b=a senβ</m:t>
        </m:r>
      </m:oMath>
      <w:r>
        <w:rPr>
          <w:rFonts w:ascii="Cambria Math" w:eastAsiaTheme="minorEastAsia" w:hAnsi="Cambria Math"/>
          <w:b/>
          <w:color w:val="FF0000"/>
        </w:rPr>
        <w:t xml:space="preserve">     ,     </w:t>
      </w:r>
      <m:oMath>
        <m:r>
          <m:rPr>
            <m:sty m:val="bi"/>
          </m:rPr>
          <w:rPr>
            <w:rFonts w:ascii="Cambria Math" w:hAnsi="Cambria Math"/>
            <w:color w:val="FF0000"/>
          </w:rPr>
          <m:t xml:space="preserve"> b=a cosγ</m:t>
        </m:r>
      </m:oMath>
      <w:r>
        <w:rPr>
          <w:rFonts w:ascii="Cambria Math" w:eastAsiaTheme="minorEastAsia" w:hAnsi="Cambria Math"/>
          <w:b/>
          <w:color w:val="FF0000"/>
        </w:rPr>
        <w:t xml:space="preserve">     ,    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c=a senγ</m:t>
        </m:r>
      </m:oMath>
      <w:r>
        <w:rPr>
          <w:rFonts w:ascii="Cambria Math" w:eastAsiaTheme="minorEastAsia" w:hAnsi="Cambria Math"/>
          <w:b/>
          <w:color w:val="FF0000"/>
        </w:rPr>
        <w:t xml:space="preserve">     ,    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c=a cosβ</m:t>
        </m:r>
      </m:oMath>
      <w:r w:rsidR="00113E67">
        <w:rPr>
          <w:rFonts w:ascii="Cambria Math" w:eastAsiaTheme="minorEastAsia" w:hAnsi="Cambria Math"/>
          <w:b/>
          <w:color w:val="FF0000"/>
        </w:rPr>
        <w:t xml:space="preserve"> </w:t>
      </w:r>
      <w:r w:rsidR="003750AC">
        <w:rPr>
          <w:rFonts w:ascii="Cambria Math" w:eastAsiaTheme="minorEastAsia" w:hAnsi="Cambria Math"/>
          <w:b/>
          <w:color w:val="FF0000"/>
        </w:rPr>
        <w:t xml:space="preserve">    </w:t>
      </w:r>
      <w:r w:rsidR="00113E67">
        <w:rPr>
          <w:rFonts w:ascii="Cambria Math" w:eastAsiaTheme="minorEastAsia" w:hAnsi="Cambria Math"/>
          <w:b/>
          <w:color w:val="FF0000"/>
        </w:rPr>
        <w:t>.</w:t>
      </w:r>
    </w:p>
    <w:p w14:paraId="0BD679E4" w14:textId="77777777" w:rsidR="00113E67" w:rsidRDefault="00113E67" w:rsidP="00F27BF7">
      <w:pPr>
        <w:jc w:val="both"/>
        <w:rPr>
          <w:b/>
          <w:color w:val="FF0000"/>
        </w:rPr>
      </w:pPr>
      <w:r w:rsidRPr="00113E67">
        <w:rPr>
          <w:b/>
        </w:rPr>
        <w:t>Inoltre, si può dedurre anche</w:t>
      </w:r>
    </w:p>
    <w:p w14:paraId="3E0ECBBD" w14:textId="77777777" w:rsidR="004B71F8" w:rsidRDefault="00113E67" w:rsidP="004B71F8">
      <w:pPr>
        <w:jc w:val="both"/>
        <w:rPr>
          <w:b/>
          <w:color w:val="FF0000"/>
        </w:rPr>
      </w:pPr>
      <w:r>
        <w:rPr>
          <w:b/>
          <w:color w:val="FF0000"/>
        </w:rPr>
        <w:t>In un triangolo rettangolo, la misura di un cateto è data dal prodotto della misura dell’altro cateto per la tangente dell’angolo opposto al primo.</w:t>
      </w:r>
    </w:p>
    <w:p w14:paraId="58AAD612" w14:textId="77777777" w:rsidR="003750AC" w:rsidRDefault="00EC74C7" w:rsidP="004B71F8">
      <w:pPr>
        <w:jc w:val="center"/>
        <w:rPr>
          <w:b/>
          <w:color w:val="FF0000"/>
        </w:rPr>
      </w:pPr>
      <m:oMath>
        <m:r>
          <m:rPr>
            <m:sty m:val="bi"/>
          </m:rPr>
          <w:rPr>
            <w:rFonts w:ascii="Cambria Math" w:hAnsi="Cambria Math"/>
            <w:color w:val="FF0000"/>
          </w:rPr>
          <m:t>b=c tgβ</m:t>
        </m:r>
      </m:oMath>
      <w:r>
        <w:rPr>
          <w:rFonts w:ascii="Cambria Math" w:eastAsiaTheme="minorEastAsia" w:hAnsi="Cambria Math"/>
          <w:b/>
          <w:color w:val="FF0000"/>
        </w:rPr>
        <w:t xml:space="preserve">     </w:t>
      </w:r>
      <w:r w:rsidR="003750AC">
        <w:rPr>
          <w:rFonts w:ascii="Cambria Math" w:eastAsiaTheme="minorEastAsia" w:hAnsi="Cambria Math"/>
          <w:b/>
          <w:color w:val="FF0000"/>
        </w:rPr>
        <w:t xml:space="preserve">     e         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c=b tgγ</m:t>
        </m:r>
      </m:oMath>
      <w:r w:rsidR="003750AC">
        <w:rPr>
          <w:rFonts w:ascii="Cambria Math" w:eastAsiaTheme="minorEastAsia" w:hAnsi="Cambria Math"/>
          <w:b/>
          <w:color w:val="FF0000"/>
        </w:rPr>
        <w:t xml:space="preserve">  .</w:t>
      </w:r>
    </w:p>
    <w:p w14:paraId="2CE34429" w14:textId="77777777" w:rsidR="00DD4C7A" w:rsidRDefault="00DF3310" w:rsidP="00DF3310">
      <w:pPr>
        <w:jc w:val="center"/>
        <w:rPr>
          <w:b/>
          <w:color w:val="FF0000"/>
        </w:rPr>
      </w:pPr>
      <w:r w:rsidRPr="00DF3310">
        <w:rPr>
          <w:b/>
          <w:color w:val="FF0000"/>
        </w:rPr>
        <w:lastRenderedPageBreak/>
        <w:t>PROBLEMI DI TRIGONOMETRIA</w:t>
      </w:r>
      <w:r w:rsidR="00113E67">
        <w:rPr>
          <w:b/>
          <w:color w:val="FF0000"/>
        </w:rPr>
        <w:t xml:space="preserve"> SUI TRIANGOLI RETTANGOLI</w:t>
      </w:r>
    </w:p>
    <w:p w14:paraId="25BAA7A5" w14:textId="77777777" w:rsidR="00AA78C1" w:rsidRPr="00B6404C" w:rsidRDefault="00AA78C1" w:rsidP="007F1187">
      <w:pPr>
        <w:pStyle w:val="Paragrafoelenco"/>
        <w:numPr>
          <w:ilvl w:val="0"/>
          <w:numId w:val="1"/>
        </w:numPr>
        <w:spacing w:line="480" w:lineRule="auto"/>
        <w:jc w:val="both"/>
        <w:rPr>
          <w:b/>
        </w:rPr>
      </w:pPr>
      <w:r w:rsidRPr="00B6404C">
        <w:rPr>
          <w:b/>
        </w:rPr>
        <w:t xml:space="preserve">Calcolare il cateto minore sapendo che l’ipotenusa vale </w:t>
      </w:r>
      <m:oMath>
        <m:r>
          <m:rPr>
            <m:sty m:val="bi"/>
          </m:rPr>
          <w:rPr>
            <w:rFonts w:ascii="Cambria Math" w:hAnsi="Cambria Math"/>
          </w:rPr>
          <m:t>20</m:t>
        </m:r>
        <m:r>
          <m:rPr>
            <m:sty m:val="bi"/>
          </m:rPr>
          <w:rPr>
            <w:rFonts w:ascii="Cambria Math" w:hAnsi="Cambria Math"/>
          </w:rPr>
          <m:t>u</m:t>
        </m:r>
      </m:oMath>
      <w:r w:rsidRPr="00B6404C">
        <w:rPr>
          <w:b/>
        </w:rPr>
        <w:t xml:space="preserve"> e l’angolo </w:t>
      </w:r>
      <w:r w:rsidR="00B6404C" w:rsidRPr="00B6404C">
        <w:rPr>
          <w:b/>
        </w:rPr>
        <w:t>o</w:t>
      </w:r>
      <w:r w:rsidRPr="00B6404C">
        <w:rPr>
          <w:b/>
        </w:rPr>
        <w:t xml:space="preserve">pposto è uguale </w:t>
      </w:r>
      <m:oMath>
        <m:r>
          <m:rPr>
            <m:sty m:val="bi"/>
          </m:rPr>
          <w:rPr>
            <w:rFonts w:ascii="Cambria Math" w:hAnsi="Cambria Math"/>
          </w:rPr>
          <m:t>30°</m:t>
        </m:r>
      </m:oMath>
      <w:r w:rsidRPr="00B6404C">
        <w:rPr>
          <w:b/>
        </w:rPr>
        <w:t xml:space="preserve"> .</w:t>
      </w:r>
    </w:p>
    <w:p w14:paraId="04BE3B1D" w14:textId="77777777" w:rsidR="00B6404C" w:rsidRPr="00B6404C" w:rsidRDefault="00B6404C" w:rsidP="007F1187">
      <w:pPr>
        <w:pStyle w:val="Paragrafoelenco"/>
        <w:numPr>
          <w:ilvl w:val="0"/>
          <w:numId w:val="1"/>
        </w:numPr>
        <w:spacing w:line="480" w:lineRule="auto"/>
        <w:jc w:val="both"/>
        <w:rPr>
          <w:b/>
        </w:rPr>
      </w:pPr>
      <w:r w:rsidRPr="00B6404C">
        <w:rPr>
          <w:b/>
        </w:rPr>
        <w:t>Calcolare il cateto m</w:t>
      </w:r>
      <w:r>
        <w:rPr>
          <w:b/>
        </w:rPr>
        <w:t xml:space="preserve">aggiore sapendo che l’ipotenusa vale </w:t>
      </w:r>
      <m:oMath>
        <m:r>
          <m:rPr>
            <m:sty m:val="bi"/>
          </m:rPr>
          <w:rPr>
            <w:rFonts w:ascii="Cambria Math" w:hAnsi="Cambria Math"/>
          </w:rPr>
          <m:t>30</m:t>
        </m:r>
        <m:r>
          <m:rPr>
            <m:sty m:val="bi"/>
          </m:rPr>
          <w:rPr>
            <w:rFonts w:ascii="Cambria Math" w:hAnsi="Cambria Math"/>
          </w:rPr>
          <m:t>u</m:t>
        </m:r>
      </m:oMath>
      <w:r w:rsidRPr="00B6404C">
        <w:rPr>
          <w:b/>
        </w:rPr>
        <w:t xml:space="preserve"> e l’angolo opposto è uguale </w:t>
      </w:r>
      <m:oMath>
        <m:r>
          <m:rPr>
            <m:sty m:val="bi"/>
          </m:rPr>
          <w:rPr>
            <w:rFonts w:ascii="Cambria Math" w:hAnsi="Cambria Math"/>
          </w:rPr>
          <m:t>60°</m:t>
        </m:r>
      </m:oMath>
      <w:r w:rsidRPr="00B6404C">
        <w:rPr>
          <w:b/>
        </w:rPr>
        <w:t xml:space="preserve"> .</w:t>
      </w:r>
    </w:p>
    <w:p w14:paraId="10EE76AB" w14:textId="77777777" w:rsidR="00B6404C" w:rsidRDefault="00B6404C" w:rsidP="007F1187">
      <w:pPr>
        <w:pStyle w:val="Paragrafoelenco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 xml:space="preserve">Sapendo che i cateti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rPr>
          <w:b/>
        </w:rPr>
        <w:t xml:space="preserve"> e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rPr>
          <w:b/>
        </w:rPr>
        <w:t xml:space="preserve"> misurano rispettivamente </w:t>
      </w:r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u</m:t>
        </m:r>
      </m:oMath>
      <w:r>
        <w:rPr>
          <w:b/>
        </w:rPr>
        <w:t xml:space="preserve"> e </w:t>
      </w:r>
      <m:oMath>
        <m:r>
          <m:rPr>
            <m:sty m:val="bi"/>
          </m:rPr>
          <w:rPr>
            <w:rFonts w:ascii="Cambria Math" w:hAnsi="Cambria Math"/>
          </w:rPr>
          <m:t>12</m:t>
        </m:r>
        <m:r>
          <m:rPr>
            <m:sty m:val="bi"/>
          </m:rPr>
          <w:rPr>
            <w:rFonts w:ascii="Cambria Math" w:hAnsi="Cambria Math"/>
          </w:rPr>
          <m:t>u</m:t>
        </m:r>
      </m:oMath>
      <w:r>
        <w:rPr>
          <w:b/>
        </w:rPr>
        <w:t xml:space="preserve"> determinare l</w:t>
      </w:r>
      <w:r w:rsidR="00064C85">
        <w:rPr>
          <w:b/>
        </w:rPr>
        <w:t>a misura dell’</w:t>
      </w:r>
      <w:r>
        <w:rPr>
          <w:b/>
        </w:rPr>
        <w:t xml:space="preserve">ipotenusa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0A107E">
        <w:rPr>
          <w:rFonts w:eastAsiaTheme="minorEastAsia"/>
          <w:b/>
        </w:rPr>
        <w:t xml:space="preserve"> </w:t>
      </w:r>
      <w:r>
        <w:rPr>
          <w:b/>
        </w:rPr>
        <w:t>e l’ampiezza degli angol</w:t>
      </w:r>
      <w:r w:rsidR="003E7F5D">
        <w:rPr>
          <w:b/>
        </w:rPr>
        <w:t>i</w:t>
      </w:r>
      <w:r>
        <w:rPr>
          <w:b/>
        </w:rPr>
        <w:t xml:space="preserve"> </w:t>
      </w:r>
      <w:r>
        <w:rPr>
          <w:rFonts w:ascii="Cambria Math" w:hAnsi="Cambria Math"/>
          <w:b/>
        </w:rPr>
        <w:t>𝛃</w:t>
      </w:r>
      <w:r>
        <w:rPr>
          <w:b/>
        </w:rPr>
        <w:t xml:space="preserve"> e </w:t>
      </w:r>
      <w:r>
        <w:rPr>
          <w:rFonts w:ascii="Cambria Math" w:hAnsi="Cambria Math"/>
          <w:b/>
        </w:rPr>
        <w:t>𝛄</w:t>
      </w:r>
      <w:r>
        <w:rPr>
          <w:b/>
        </w:rPr>
        <w:t>.</w:t>
      </w:r>
    </w:p>
    <w:p w14:paraId="274B3B44" w14:textId="77777777" w:rsidR="00B6404C" w:rsidRDefault="00B6404C" w:rsidP="007F1187">
      <w:pPr>
        <w:pStyle w:val="Paragrafoelenco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 xml:space="preserve">Sapendo che </w:t>
      </w:r>
      <w:r w:rsidR="00064C85">
        <w:rPr>
          <w:b/>
        </w:rPr>
        <w:t>l’</w:t>
      </w:r>
      <w:r>
        <w:rPr>
          <w:b/>
        </w:rPr>
        <w:t>i</w:t>
      </w:r>
      <w:r w:rsidR="00064C85">
        <w:rPr>
          <w:b/>
        </w:rPr>
        <w:t xml:space="preserve">potenusa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064C85">
        <w:rPr>
          <w:b/>
        </w:rPr>
        <w:t xml:space="preserve"> e il </w:t>
      </w:r>
      <w:r>
        <w:rPr>
          <w:b/>
        </w:rPr>
        <w:t>catet</w:t>
      </w:r>
      <w:r w:rsidR="00064C85">
        <w:rPr>
          <w:b/>
        </w:rPr>
        <w:t>o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rPr>
          <w:b/>
        </w:rPr>
        <w:t xml:space="preserve"> misurano rispettivamente </w:t>
      </w:r>
      <m:oMath>
        <m:r>
          <m:rPr>
            <m:sty m:val="bi"/>
          </m:rPr>
          <w:rPr>
            <w:rFonts w:ascii="Cambria Math" w:hAnsi="Cambria Math"/>
          </w:rPr>
          <m:t>39</m:t>
        </m:r>
        <m:r>
          <m:rPr>
            <m:sty m:val="bi"/>
          </m:rPr>
          <w:rPr>
            <w:rFonts w:ascii="Cambria Math" w:hAnsi="Cambria Math"/>
          </w:rPr>
          <m:t>u</m:t>
        </m:r>
      </m:oMath>
      <w:r>
        <w:rPr>
          <w:b/>
        </w:rPr>
        <w:t xml:space="preserve"> e </w:t>
      </w:r>
      <m:oMath>
        <m:r>
          <m:rPr>
            <m:sty m:val="bi"/>
          </m:rPr>
          <w:rPr>
            <w:rFonts w:ascii="Cambria Math" w:hAnsi="Cambria Math"/>
          </w:rPr>
          <m:t>36</m:t>
        </m:r>
        <m:r>
          <m:rPr>
            <m:sty m:val="bi"/>
          </m:rPr>
          <w:rPr>
            <w:rFonts w:ascii="Cambria Math" w:hAnsi="Cambria Math"/>
          </w:rPr>
          <m:t>u</m:t>
        </m:r>
      </m:oMath>
      <w:r>
        <w:rPr>
          <w:b/>
        </w:rPr>
        <w:t xml:space="preserve"> determinare l</w:t>
      </w:r>
      <w:r w:rsidR="00064C85">
        <w:rPr>
          <w:b/>
        </w:rPr>
        <w:t xml:space="preserve">a misura del cateto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rPr>
          <w:b/>
        </w:rPr>
        <w:t xml:space="preserve"> e l’ampiezza degli angol</w:t>
      </w:r>
      <w:r w:rsidR="003E7F5D">
        <w:rPr>
          <w:b/>
        </w:rPr>
        <w:t>i</w:t>
      </w:r>
      <w:r>
        <w:rPr>
          <w:b/>
        </w:rPr>
        <w:t xml:space="preserve"> </w:t>
      </w:r>
      <w:r>
        <w:rPr>
          <w:rFonts w:ascii="Cambria Math" w:hAnsi="Cambria Math"/>
          <w:b/>
        </w:rPr>
        <w:t>𝛃</w:t>
      </w:r>
      <w:r>
        <w:rPr>
          <w:b/>
        </w:rPr>
        <w:t xml:space="preserve"> e </w:t>
      </w:r>
      <w:r>
        <w:rPr>
          <w:rFonts w:ascii="Cambria Math" w:hAnsi="Cambria Math"/>
          <w:b/>
        </w:rPr>
        <w:t>𝛄</w:t>
      </w:r>
      <w:r>
        <w:rPr>
          <w:b/>
        </w:rPr>
        <w:t>.</w:t>
      </w:r>
    </w:p>
    <w:p w14:paraId="0C2D5B93" w14:textId="77777777" w:rsidR="00B6404C" w:rsidRPr="00B6404C" w:rsidRDefault="00064C85" w:rsidP="007F1187">
      <w:pPr>
        <w:pStyle w:val="Paragrafoelenco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 xml:space="preserve">Determinare la misura dell’ipotenusa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rPr>
          <w:b/>
        </w:rPr>
        <w:t xml:space="preserve"> </w:t>
      </w:r>
      <w:r w:rsidR="006D38B4">
        <w:rPr>
          <w:b/>
        </w:rPr>
        <w:t xml:space="preserve">, </w:t>
      </w:r>
      <w:r>
        <w:rPr>
          <w:b/>
        </w:rPr>
        <w:t xml:space="preserve">la misura del cateto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rPr>
          <w:b/>
        </w:rPr>
        <w:t xml:space="preserve"> e l’angolo acuto </w:t>
      </w:r>
      <w:r>
        <w:rPr>
          <w:rFonts w:ascii="Cambria Math" w:hAnsi="Cambria Math"/>
          <w:b/>
        </w:rPr>
        <w:t>𝛃</w:t>
      </w:r>
      <w:r>
        <w:rPr>
          <w:b/>
        </w:rPr>
        <w:t xml:space="preserve"> sapendo che il cateto </w:t>
      </w:r>
      <m:oMath>
        <m:r>
          <m:rPr>
            <m:sty m:val="bi"/>
          </m:rPr>
          <w:rPr>
            <w:rFonts w:ascii="Cambria Math" w:eastAsiaTheme="minorEastAsia" w:hAnsi="Cambria Math"/>
          </w:rPr>
          <m:t>c= 7</m:t>
        </m:r>
        <m:r>
          <m:rPr>
            <m:sty m:val="bi"/>
          </m:rPr>
          <w:rPr>
            <w:rFonts w:ascii="Cambria Math" w:eastAsiaTheme="minorEastAsia" w:hAnsi="Cambria Math"/>
          </w:rPr>
          <m:t>u</m:t>
        </m:r>
      </m:oMath>
      <w:r w:rsidR="00735D73">
        <w:rPr>
          <w:b/>
        </w:rPr>
        <w:t xml:space="preserve"> e </w:t>
      </w:r>
      <m:oMath>
        <m:r>
          <m:rPr>
            <m:sty m:val="bi"/>
          </m:rPr>
          <w:rPr>
            <w:rFonts w:ascii="Cambria Math" w:hAnsi="Cambria Math"/>
          </w:rPr>
          <m:t>γ=45°.</m:t>
        </m:r>
      </m:oMath>
    </w:p>
    <w:sectPr w:rsidR="00B6404C" w:rsidRPr="00B6404C" w:rsidSect="00013D63">
      <w:footerReference w:type="default" r:id="rId9"/>
      <w:pgSz w:w="11906" w:h="16838" w:code="9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70105" w14:textId="77777777" w:rsidR="00A00B6B" w:rsidRDefault="00A00B6B" w:rsidP="00013D63">
      <w:pPr>
        <w:spacing w:after="0" w:line="240" w:lineRule="auto"/>
      </w:pPr>
      <w:r>
        <w:separator/>
      </w:r>
    </w:p>
  </w:endnote>
  <w:endnote w:type="continuationSeparator" w:id="0">
    <w:p w14:paraId="06AEC581" w14:textId="77777777" w:rsidR="00A00B6B" w:rsidRDefault="00A00B6B" w:rsidP="0001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D5ECD" w14:textId="77777777" w:rsidR="00013D63" w:rsidRDefault="00013D63">
    <w:pPr>
      <w:pStyle w:val="Pidipagina"/>
    </w:pPr>
    <w:r w:rsidRPr="00396E3C">
      <w:rPr>
        <w:rFonts w:ascii="Brush Script MT" w:eastAsia="Times New Roman" w:hAnsi="Brush Script MT" w:cs="Arial"/>
        <w:b/>
        <w:bCs/>
        <w:i/>
        <w:iCs/>
        <w:sz w:val="32"/>
        <w:szCs w:val="32"/>
        <w:lang w:eastAsia="it-IT"/>
      </w:rPr>
      <w:t>Prof. Mauro La Barbera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E98B" w14:textId="77777777" w:rsidR="00A00B6B" w:rsidRDefault="00A00B6B" w:rsidP="00013D63">
      <w:pPr>
        <w:spacing w:after="0" w:line="240" w:lineRule="auto"/>
      </w:pPr>
      <w:r>
        <w:separator/>
      </w:r>
    </w:p>
  </w:footnote>
  <w:footnote w:type="continuationSeparator" w:id="0">
    <w:p w14:paraId="4C931F36" w14:textId="77777777" w:rsidR="00A00B6B" w:rsidRDefault="00A00B6B" w:rsidP="00013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B5D41"/>
    <w:multiLevelType w:val="hybridMultilevel"/>
    <w:tmpl w:val="5B8ED688"/>
    <w:lvl w:ilvl="0" w:tplc="C1FEA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8B"/>
    <w:rsid w:val="00006940"/>
    <w:rsid w:val="00013D63"/>
    <w:rsid w:val="00064C85"/>
    <w:rsid w:val="000A107E"/>
    <w:rsid w:val="00113E67"/>
    <w:rsid w:val="001D60F2"/>
    <w:rsid w:val="0025748B"/>
    <w:rsid w:val="003750AC"/>
    <w:rsid w:val="003E7F5D"/>
    <w:rsid w:val="004B71F8"/>
    <w:rsid w:val="00635677"/>
    <w:rsid w:val="006870C6"/>
    <w:rsid w:val="006D38B4"/>
    <w:rsid w:val="00735D73"/>
    <w:rsid w:val="00743281"/>
    <w:rsid w:val="00744499"/>
    <w:rsid w:val="007B0B66"/>
    <w:rsid w:val="007F1187"/>
    <w:rsid w:val="00805DE1"/>
    <w:rsid w:val="008B3777"/>
    <w:rsid w:val="008F4D71"/>
    <w:rsid w:val="0096369C"/>
    <w:rsid w:val="00971223"/>
    <w:rsid w:val="009A488B"/>
    <w:rsid w:val="00A00B6B"/>
    <w:rsid w:val="00A52243"/>
    <w:rsid w:val="00AA78C1"/>
    <w:rsid w:val="00AF688E"/>
    <w:rsid w:val="00B6404C"/>
    <w:rsid w:val="00C012F2"/>
    <w:rsid w:val="00C43B6C"/>
    <w:rsid w:val="00C97183"/>
    <w:rsid w:val="00D3086B"/>
    <w:rsid w:val="00D724EE"/>
    <w:rsid w:val="00DD4C7A"/>
    <w:rsid w:val="00DF3310"/>
    <w:rsid w:val="00EC74C7"/>
    <w:rsid w:val="00EF68BF"/>
    <w:rsid w:val="00F27BF7"/>
    <w:rsid w:val="00F568AF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D39E"/>
  <w15:docId w15:val="{640C2342-80DE-4BF9-BE58-A688EF3C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D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404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A107E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013D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D63"/>
  </w:style>
  <w:style w:type="paragraph" w:styleId="Pidipagina">
    <w:name w:val="footer"/>
    <w:basedOn w:val="Normale"/>
    <w:link w:val="PidipaginaCarattere"/>
    <w:uiPriority w:val="99"/>
    <w:unhideWhenUsed/>
    <w:rsid w:val="00013D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ACER</cp:lastModifiedBy>
  <cp:revision>23</cp:revision>
  <cp:lastPrinted>2021-01-12T13:58:00Z</cp:lastPrinted>
  <dcterms:created xsi:type="dcterms:W3CDTF">2020-04-05T13:51:00Z</dcterms:created>
  <dcterms:modified xsi:type="dcterms:W3CDTF">2021-01-12T13:59:00Z</dcterms:modified>
</cp:coreProperties>
</file>